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E9" w:rsidRPr="002A1CE9" w:rsidRDefault="002A1CE9" w:rsidP="002A1CE9">
      <w:pPr>
        <w:autoSpaceDE w:val="0"/>
        <w:autoSpaceDN w:val="0"/>
        <w:adjustRightInd w:val="0"/>
        <w:spacing w:after="0" w:line="240" w:lineRule="auto"/>
        <w:jc w:val="center"/>
        <w:rPr>
          <w:rFonts w:cs="Times New Roman"/>
          <w:b/>
          <w:bCs/>
          <w:szCs w:val="24"/>
        </w:rPr>
      </w:pPr>
      <w:r w:rsidRPr="002A1CE9">
        <w:rPr>
          <w:rFonts w:cs="Times New Roman"/>
          <w:b/>
          <w:bCs/>
          <w:szCs w:val="24"/>
        </w:rPr>
        <w:t>Henri Bergson (1859-1941)</w:t>
      </w:r>
    </w:p>
    <w:p w:rsidR="002A1CE9" w:rsidRDefault="002A1CE9" w:rsidP="00D3262D">
      <w:pPr>
        <w:autoSpaceDE w:val="0"/>
        <w:autoSpaceDN w:val="0"/>
        <w:adjustRightInd w:val="0"/>
        <w:spacing w:after="0" w:line="240" w:lineRule="auto"/>
        <w:jc w:val="both"/>
        <w:rPr>
          <w:rFonts w:cs="Times New Roman"/>
          <w:bCs/>
          <w:szCs w:val="24"/>
        </w:rPr>
      </w:pPr>
    </w:p>
    <w:p w:rsidR="002A1CE9" w:rsidRPr="002A1CE9" w:rsidRDefault="002A1CE9" w:rsidP="002A1CE9">
      <w:pPr>
        <w:autoSpaceDE w:val="0"/>
        <w:autoSpaceDN w:val="0"/>
        <w:adjustRightInd w:val="0"/>
        <w:spacing w:after="0" w:line="240" w:lineRule="auto"/>
        <w:jc w:val="center"/>
        <w:rPr>
          <w:rFonts w:cs="Times New Roman"/>
          <w:bCs/>
          <w:szCs w:val="24"/>
          <w:u w:val="single"/>
        </w:rPr>
      </w:pPr>
      <w:r w:rsidRPr="002A1CE9">
        <w:rPr>
          <w:rFonts w:cs="Times New Roman"/>
          <w:bCs/>
          <w:szCs w:val="24"/>
          <w:u w:val="single"/>
        </w:rPr>
        <w:t>Concezione del tempo</w:t>
      </w:r>
      <w:r w:rsidR="008702A7">
        <w:rPr>
          <w:rFonts w:cs="Times New Roman"/>
          <w:bCs/>
          <w:szCs w:val="24"/>
          <w:u w:val="single"/>
        </w:rPr>
        <w:t>, della memoria</w:t>
      </w:r>
      <w:r w:rsidRPr="002A1CE9">
        <w:rPr>
          <w:rFonts w:cs="Times New Roman"/>
          <w:bCs/>
          <w:szCs w:val="24"/>
          <w:u w:val="single"/>
        </w:rPr>
        <w:t xml:space="preserve"> e della società</w:t>
      </w:r>
    </w:p>
    <w:p w:rsidR="002A1CE9" w:rsidRDefault="002A1CE9" w:rsidP="00D3262D">
      <w:pPr>
        <w:autoSpaceDE w:val="0"/>
        <w:autoSpaceDN w:val="0"/>
        <w:adjustRightInd w:val="0"/>
        <w:spacing w:after="0" w:line="240" w:lineRule="auto"/>
        <w:jc w:val="both"/>
        <w:rPr>
          <w:rFonts w:cs="Times New Roman"/>
          <w:bCs/>
          <w:szCs w:val="24"/>
        </w:rPr>
      </w:pPr>
    </w:p>
    <w:p w:rsidR="003865EA" w:rsidRPr="00D3262D" w:rsidRDefault="003865EA" w:rsidP="00D3262D">
      <w:pPr>
        <w:autoSpaceDE w:val="0"/>
        <w:autoSpaceDN w:val="0"/>
        <w:adjustRightInd w:val="0"/>
        <w:spacing w:after="0" w:line="240" w:lineRule="auto"/>
        <w:jc w:val="both"/>
        <w:rPr>
          <w:rFonts w:cs="Times New Roman"/>
          <w:bCs/>
          <w:szCs w:val="24"/>
        </w:rPr>
      </w:pPr>
      <w:r w:rsidRPr="00D3262D">
        <w:rPr>
          <w:rFonts w:cs="Times New Roman"/>
          <w:bCs/>
          <w:szCs w:val="24"/>
        </w:rPr>
        <w:t>Bergson</w:t>
      </w:r>
      <w:r w:rsidR="002A1CE9">
        <w:rPr>
          <w:rFonts w:cs="Times New Roman"/>
          <w:bCs/>
          <w:szCs w:val="24"/>
        </w:rPr>
        <w:t>, nell’opera</w:t>
      </w:r>
      <w:r w:rsidRPr="00D3262D">
        <w:rPr>
          <w:rFonts w:cs="Times New Roman"/>
          <w:bCs/>
          <w:szCs w:val="24"/>
        </w:rPr>
        <w:t xml:space="preserve"> </w:t>
      </w:r>
      <w:r w:rsidR="002A1CE9" w:rsidRPr="002A1CE9">
        <w:rPr>
          <w:rFonts w:cs="Times New Roman"/>
          <w:bCs/>
          <w:i/>
          <w:szCs w:val="24"/>
        </w:rPr>
        <w:t>Materia e memoria</w:t>
      </w:r>
      <w:r w:rsidR="002A1CE9" w:rsidRPr="002A1CE9">
        <w:rPr>
          <w:rFonts w:cs="Times New Roman"/>
          <w:bCs/>
          <w:szCs w:val="24"/>
        </w:rPr>
        <w:t xml:space="preserve"> (1896), </w:t>
      </w:r>
      <w:r w:rsidRPr="00D3262D">
        <w:rPr>
          <w:rFonts w:cs="Times New Roman"/>
          <w:bCs/>
          <w:szCs w:val="24"/>
        </w:rPr>
        <w:t>distingue il tempo “della scienza” dal “tempo della vita”</w:t>
      </w:r>
      <w:r w:rsidR="00D3262D" w:rsidRPr="00D3262D">
        <w:rPr>
          <w:rFonts w:cs="Times New Roman"/>
          <w:bCs/>
          <w:szCs w:val="24"/>
        </w:rPr>
        <w:t xml:space="preserve"> o “vissuto”</w:t>
      </w:r>
      <w:r w:rsidRPr="00D3262D">
        <w:rPr>
          <w:rFonts w:cs="Times New Roman"/>
          <w:bCs/>
          <w:szCs w:val="24"/>
        </w:rPr>
        <w:t>. Il primo</w:t>
      </w:r>
      <w:r w:rsidR="00A6240C">
        <w:rPr>
          <w:rFonts w:cs="Times New Roman"/>
          <w:bCs/>
          <w:szCs w:val="24"/>
        </w:rPr>
        <w:t xml:space="preserve"> tipo di tempo</w:t>
      </w:r>
      <w:r w:rsidRPr="00D3262D">
        <w:rPr>
          <w:rFonts w:cs="Times New Roman"/>
          <w:bCs/>
          <w:szCs w:val="24"/>
        </w:rPr>
        <w:t xml:space="preserve"> è quello misurato dall’orologio; esso è spazializzabile (riconducibile a spazio, per es. al movimento delle lancette) perché costituito da tanti istanti tutti uguali tra di loro e paragonabili ai punti di una linea. Il tempo della scienza è reversibile e sta alla base della conoscenza; è uguale per tutti. Esso è utile perché consente di organizzare la vita individuale e collettiva fornendo dei punti di riferimento fissi, ma non corrisponde alla più profonda essenza della realtà. A essa corrisponde invece il </w:t>
      </w:r>
      <w:r w:rsidR="002A1CE9">
        <w:rPr>
          <w:rFonts w:cs="Times New Roman"/>
          <w:bCs/>
          <w:szCs w:val="24"/>
        </w:rPr>
        <w:t>t</w:t>
      </w:r>
      <w:r w:rsidRPr="00D3262D">
        <w:rPr>
          <w:rFonts w:cs="Times New Roman"/>
          <w:bCs/>
          <w:szCs w:val="24"/>
        </w:rPr>
        <w:t>empo “della vita”, che Bergson chiama anche “durata reale”. Esso non è spazializzabile ed è costituito da attimi tutti diversi tra di loro</w:t>
      </w:r>
      <w:r w:rsidR="00A6240C">
        <w:rPr>
          <w:rFonts w:cs="Times New Roman"/>
          <w:bCs/>
          <w:szCs w:val="24"/>
        </w:rPr>
        <w:t>;</w:t>
      </w:r>
      <w:r w:rsidR="002A1CE9">
        <w:rPr>
          <w:rFonts w:cs="Times New Roman"/>
          <w:bCs/>
          <w:szCs w:val="24"/>
        </w:rPr>
        <w:t xml:space="preserve"> è interiore</w:t>
      </w:r>
      <w:r w:rsidRPr="00D3262D">
        <w:rPr>
          <w:rFonts w:cs="Times New Roman"/>
          <w:bCs/>
          <w:szCs w:val="24"/>
        </w:rPr>
        <w:t xml:space="preserve"> cambia da individuo a individuo, è relativo, è irreversibile </w:t>
      </w:r>
      <w:proofErr w:type="gramStart"/>
      <w:r w:rsidRPr="00D3262D">
        <w:rPr>
          <w:rFonts w:cs="Times New Roman"/>
          <w:bCs/>
          <w:szCs w:val="24"/>
        </w:rPr>
        <w:t>e “</w:t>
      </w:r>
      <w:proofErr w:type="gramEnd"/>
      <w:r w:rsidRPr="00D3262D">
        <w:rPr>
          <w:rFonts w:cs="Times New Roman"/>
          <w:bCs/>
          <w:szCs w:val="24"/>
        </w:rPr>
        <w:t>cresce su se stesso”</w:t>
      </w:r>
      <w:r w:rsidR="00A6240C">
        <w:rPr>
          <w:rFonts w:cs="Times New Roman"/>
          <w:bCs/>
          <w:szCs w:val="24"/>
        </w:rPr>
        <w:t>,</w:t>
      </w:r>
      <w:r w:rsidRPr="00D3262D">
        <w:rPr>
          <w:rFonts w:cs="Times New Roman"/>
          <w:bCs/>
          <w:szCs w:val="24"/>
        </w:rPr>
        <w:t xml:space="preserve"> implicando una costante rielaborazione del passato. </w:t>
      </w:r>
      <w:proofErr w:type="gramStart"/>
      <w:r w:rsidRPr="00D3262D">
        <w:rPr>
          <w:rFonts w:cs="Times New Roman"/>
          <w:bCs/>
          <w:szCs w:val="24"/>
        </w:rPr>
        <w:t>E’</w:t>
      </w:r>
      <w:proofErr w:type="gramEnd"/>
      <w:r w:rsidRPr="00D3262D">
        <w:rPr>
          <w:rFonts w:cs="Times New Roman"/>
          <w:bCs/>
          <w:szCs w:val="24"/>
        </w:rPr>
        <w:t xml:space="preserve"> paragonabile a una valanga o a un gomitolo.</w:t>
      </w:r>
    </w:p>
    <w:p w:rsidR="00D900EC" w:rsidRDefault="00D3262D" w:rsidP="00D900EC">
      <w:pPr>
        <w:spacing w:after="0" w:line="240" w:lineRule="auto"/>
        <w:jc w:val="both"/>
        <w:rPr>
          <w:rFonts w:cs="Times New Roman"/>
          <w:bCs/>
          <w:color w:val="000000" w:themeColor="text1"/>
          <w:szCs w:val="24"/>
        </w:rPr>
      </w:pPr>
      <w:r w:rsidRPr="00D3262D">
        <w:rPr>
          <w:rFonts w:cs="Times New Roman"/>
          <w:bCs/>
          <w:szCs w:val="24"/>
        </w:rPr>
        <w:t xml:space="preserve">La concezione temporale di Bergson ha ispirato Marcel Proust (che ha scritto l’opera </w:t>
      </w:r>
      <w:r w:rsidRPr="00A6240C">
        <w:rPr>
          <w:rFonts w:cs="Times New Roman"/>
          <w:bCs/>
          <w:i/>
          <w:szCs w:val="24"/>
        </w:rPr>
        <w:t>Alla ricerca del tempo perduto</w:t>
      </w:r>
      <w:r w:rsidRPr="00D3262D">
        <w:rPr>
          <w:rFonts w:cs="Times New Roman"/>
          <w:bCs/>
          <w:szCs w:val="24"/>
        </w:rPr>
        <w:t xml:space="preserve">) e James Joyce (che ha scritto l’opera </w:t>
      </w:r>
      <w:r w:rsidRPr="00A6240C">
        <w:rPr>
          <w:rFonts w:cs="Times New Roman"/>
          <w:bCs/>
          <w:i/>
          <w:szCs w:val="24"/>
        </w:rPr>
        <w:t>Ulisse</w:t>
      </w:r>
      <w:r w:rsidRPr="00D3262D">
        <w:rPr>
          <w:rFonts w:cs="Times New Roman"/>
          <w:bCs/>
          <w:szCs w:val="24"/>
        </w:rPr>
        <w:t>)</w:t>
      </w:r>
      <w:r w:rsidR="00D900EC">
        <w:rPr>
          <w:rFonts w:cs="Times New Roman"/>
          <w:bCs/>
          <w:szCs w:val="24"/>
        </w:rPr>
        <w:t>.</w:t>
      </w:r>
      <w:r w:rsidR="00D900EC" w:rsidRPr="00D900EC">
        <w:rPr>
          <w:rFonts w:cs="Times New Roman"/>
          <w:bCs/>
          <w:color w:val="000000" w:themeColor="text1"/>
          <w:szCs w:val="24"/>
        </w:rPr>
        <w:t xml:space="preserve"> </w:t>
      </w:r>
      <w:r w:rsidR="00D900EC">
        <w:rPr>
          <w:rFonts w:cs="Times New Roman"/>
          <w:bCs/>
          <w:color w:val="000000" w:themeColor="text1"/>
          <w:szCs w:val="24"/>
        </w:rPr>
        <w:t>Per l’influenza di Bergson su Proust e Joyce leggi lo specchietto corrispondente sul libro di testo.</w:t>
      </w:r>
    </w:p>
    <w:p w:rsidR="00D900EC" w:rsidRDefault="00D900EC" w:rsidP="00D900EC">
      <w:pPr>
        <w:spacing w:after="0" w:line="240" w:lineRule="auto"/>
        <w:jc w:val="both"/>
        <w:rPr>
          <w:rFonts w:cs="Times New Roman"/>
          <w:bCs/>
          <w:color w:val="000000" w:themeColor="text1"/>
          <w:szCs w:val="24"/>
        </w:rPr>
      </w:pPr>
    </w:p>
    <w:p w:rsidR="00D900EC" w:rsidRDefault="00D900EC" w:rsidP="00D900EC">
      <w:pPr>
        <w:spacing w:after="0" w:line="240" w:lineRule="auto"/>
        <w:jc w:val="both"/>
        <w:rPr>
          <w:rFonts w:cs="Times New Roman"/>
          <w:bCs/>
          <w:color w:val="000000" w:themeColor="text1"/>
          <w:szCs w:val="24"/>
        </w:rPr>
      </w:pPr>
      <w:r w:rsidRPr="00E65582">
        <w:rPr>
          <w:rFonts w:cs="Times New Roman"/>
          <w:bCs/>
          <w:color w:val="000000" w:themeColor="text1"/>
          <w:szCs w:val="24"/>
        </w:rPr>
        <w:t>Nel suo Nel libro l’</w:t>
      </w:r>
      <w:r w:rsidRPr="00E65582">
        <w:rPr>
          <w:rFonts w:cs="Times New Roman"/>
          <w:bCs/>
          <w:i/>
          <w:color w:val="000000" w:themeColor="text1"/>
          <w:szCs w:val="24"/>
        </w:rPr>
        <w:t>Evoluzione creatrice</w:t>
      </w:r>
      <w:r w:rsidRPr="00E65582">
        <w:rPr>
          <w:rFonts w:cs="Times New Roman"/>
          <w:bCs/>
          <w:color w:val="000000" w:themeColor="text1"/>
          <w:szCs w:val="24"/>
        </w:rPr>
        <w:t xml:space="preserve"> (1907) Bergson dice che l’essenza di tutte le cose è l’</w:t>
      </w:r>
      <w:r>
        <w:rPr>
          <w:rFonts w:cs="Times New Roman"/>
          <w:bCs/>
          <w:color w:val="000000" w:themeColor="text1"/>
          <w:szCs w:val="24"/>
        </w:rPr>
        <w:t>“</w:t>
      </w:r>
      <w:proofErr w:type="spellStart"/>
      <w:r w:rsidRPr="00E65582">
        <w:rPr>
          <w:rFonts w:cs="Times New Roman"/>
          <w:bCs/>
          <w:i/>
          <w:color w:val="000000" w:themeColor="text1"/>
          <w:szCs w:val="24"/>
        </w:rPr>
        <w:t>élan</w:t>
      </w:r>
      <w:proofErr w:type="spellEnd"/>
      <w:r w:rsidRPr="00E65582">
        <w:rPr>
          <w:rFonts w:cs="Times New Roman"/>
          <w:bCs/>
          <w:i/>
          <w:color w:val="000000" w:themeColor="text1"/>
          <w:szCs w:val="24"/>
        </w:rPr>
        <w:t xml:space="preserve"> </w:t>
      </w:r>
      <w:proofErr w:type="spellStart"/>
      <w:r w:rsidRPr="00E65582">
        <w:rPr>
          <w:rFonts w:cs="Times New Roman"/>
          <w:bCs/>
          <w:i/>
          <w:color w:val="000000" w:themeColor="text1"/>
          <w:szCs w:val="24"/>
        </w:rPr>
        <w:t>vital</w:t>
      </w:r>
      <w:proofErr w:type="spellEnd"/>
      <w:r w:rsidRPr="00E65582">
        <w:rPr>
          <w:rFonts w:cs="Times New Roman"/>
          <w:bCs/>
          <w:color w:val="000000" w:themeColor="text1"/>
          <w:szCs w:val="24"/>
        </w:rPr>
        <w:t>” (slancio vitale), un continuo sviluppo libero che, come una corrente, attraversa tutto ciò che esiste, differenziandosi nei vari esseri e presentando le caratteristiche proprie della “durata” (o “tempo della vita”).</w:t>
      </w:r>
    </w:p>
    <w:p w:rsidR="00D900EC" w:rsidRPr="00E65582" w:rsidRDefault="00D900EC" w:rsidP="00D900EC">
      <w:pPr>
        <w:spacing w:after="0" w:line="240" w:lineRule="auto"/>
        <w:jc w:val="both"/>
        <w:rPr>
          <w:rFonts w:cs="Times New Roman"/>
          <w:bCs/>
          <w:color w:val="000000" w:themeColor="text1"/>
          <w:szCs w:val="24"/>
        </w:rPr>
      </w:pPr>
    </w:p>
    <w:p w:rsidR="00D900EC" w:rsidRDefault="00D900EC" w:rsidP="00D900EC">
      <w:pPr>
        <w:spacing w:after="0" w:line="240" w:lineRule="auto"/>
        <w:jc w:val="both"/>
        <w:rPr>
          <w:rFonts w:cs="Times New Roman"/>
          <w:bCs/>
          <w:color w:val="000000" w:themeColor="text1"/>
          <w:szCs w:val="24"/>
        </w:rPr>
      </w:pPr>
      <w:r>
        <w:rPr>
          <w:rFonts w:cs="Times New Roman"/>
          <w:color w:val="000000" w:themeColor="text1"/>
          <w:szCs w:val="24"/>
          <w:shd w:val="clear" w:color="auto" w:fill="FFFFFF"/>
        </w:rPr>
        <w:t>Al concetto di “durata” si connette strettamente non solo quello di “slancio vitale”, ma anche quello di “memoria”. Nell’opera</w:t>
      </w:r>
      <w:r w:rsidRPr="00E96518">
        <w:rPr>
          <w:rFonts w:cs="Times New Roman"/>
          <w:color w:val="000000" w:themeColor="text1"/>
          <w:szCs w:val="24"/>
          <w:shd w:val="clear" w:color="auto" w:fill="FFFFFF"/>
        </w:rPr>
        <w:t> </w:t>
      </w:r>
      <w:r w:rsidRPr="00E96518">
        <w:rPr>
          <w:rFonts w:cs="Times New Roman"/>
          <w:i/>
          <w:iCs/>
          <w:color w:val="000000" w:themeColor="text1"/>
          <w:szCs w:val="24"/>
          <w:shd w:val="clear" w:color="auto" w:fill="FFFFFF"/>
        </w:rPr>
        <w:t>Materia e memoria</w:t>
      </w:r>
      <w:r>
        <w:rPr>
          <w:rFonts w:cs="Times New Roman"/>
          <w:color w:val="000000" w:themeColor="text1"/>
          <w:szCs w:val="24"/>
          <w:shd w:val="clear" w:color="auto" w:fill="FFFFFF"/>
        </w:rPr>
        <w:t> (1</w:t>
      </w:r>
      <w:r w:rsidRPr="00E96518">
        <w:rPr>
          <w:rFonts w:cs="Times New Roman"/>
          <w:color w:val="000000" w:themeColor="text1"/>
          <w:szCs w:val="24"/>
          <w:shd w:val="clear" w:color="auto" w:fill="FFFFFF"/>
        </w:rPr>
        <w:t>89</w:t>
      </w:r>
      <w:r>
        <w:rPr>
          <w:rFonts w:cs="Times New Roman"/>
          <w:color w:val="000000" w:themeColor="text1"/>
          <w:szCs w:val="24"/>
          <w:shd w:val="clear" w:color="auto" w:fill="FFFFFF"/>
        </w:rPr>
        <w:t>6)</w:t>
      </w:r>
      <w:r w:rsidRPr="00E96518">
        <w:rPr>
          <w:rFonts w:cs="Times New Roman"/>
          <w:color w:val="000000" w:themeColor="text1"/>
          <w:szCs w:val="24"/>
          <w:shd w:val="clear" w:color="auto" w:fill="FFFFFF"/>
        </w:rPr>
        <w:t xml:space="preserve"> Bergson distingue</w:t>
      </w:r>
      <w:r>
        <w:rPr>
          <w:rFonts w:cs="Times New Roman"/>
          <w:color w:val="000000" w:themeColor="text1"/>
          <w:szCs w:val="24"/>
          <w:shd w:val="clear" w:color="auto" w:fill="FFFFFF"/>
        </w:rPr>
        <w:t>, nella memoria, due livelli: il</w:t>
      </w:r>
      <w:r w:rsidRPr="00E96518">
        <w:rPr>
          <w:rFonts w:cs="Times New Roman"/>
          <w:color w:val="000000" w:themeColor="text1"/>
          <w:szCs w:val="24"/>
          <w:shd w:val="clear" w:color="auto" w:fill="FFFFFF"/>
        </w:rPr>
        <w:t xml:space="preserve"> </w:t>
      </w:r>
      <w:r>
        <w:rPr>
          <w:rFonts w:cs="Times New Roman"/>
          <w:color w:val="000000" w:themeColor="text1"/>
          <w:szCs w:val="24"/>
          <w:shd w:val="clear" w:color="auto" w:fill="FFFFFF"/>
        </w:rPr>
        <w:t>ricordo puro e il</w:t>
      </w:r>
      <w:r w:rsidRPr="00E96518">
        <w:rPr>
          <w:rFonts w:cs="Times New Roman"/>
          <w:color w:val="000000" w:themeColor="text1"/>
          <w:szCs w:val="24"/>
          <w:shd w:val="clear" w:color="auto" w:fill="FFFFFF"/>
        </w:rPr>
        <w:t xml:space="preserve"> ricordo-immagine</w:t>
      </w:r>
      <w:r>
        <w:rPr>
          <w:rFonts w:cs="Times New Roman"/>
          <w:color w:val="000000" w:themeColor="text1"/>
          <w:szCs w:val="24"/>
          <w:shd w:val="clear" w:color="auto" w:fill="FFFFFF"/>
        </w:rPr>
        <w:t>.</w:t>
      </w:r>
      <w:r w:rsidRPr="00E96518">
        <w:rPr>
          <w:rFonts w:cs="Times New Roman"/>
          <w:bCs/>
          <w:color w:val="000000" w:themeColor="text1"/>
          <w:szCs w:val="24"/>
        </w:rPr>
        <w:t xml:space="preserve"> Nella memoria si conserva tutto ciò che l’individuo fin dall’infanzia ha sentito, pensato e voluto</w:t>
      </w:r>
      <w:r>
        <w:rPr>
          <w:rFonts w:cs="Times New Roman"/>
          <w:bCs/>
          <w:color w:val="000000" w:themeColor="text1"/>
          <w:szCs w:val="24"/>
        </w:rPr>
        <w:t xml:space="preserve">. La memoria profonda, in cui vi sono contenuti inconsci che si accumulano a mano a mano che si procede dal passato al presente, costituisce l’ambito del “ricordo puro”. Quando il “ricordo puro” diviene cosciente si trasforma in “ricordo immagine” (che quindi coincide con ciò che noi comunemente chiamiamo “ricordo”). </w:t>
      </w:r>
    </w:p>
    <w:p w:rsidR="00D900EC" w:rsidRDefault="00D900EC" w:rsidP="00D900EC">
      <w:pPr>
        <w:spacing w:after="0" w:line="240" w:lineRule="auto"/>
        <w:jc w:val="both"/>
        <w:rPr>
          <w:rFonts w:cs="Times New Roman"/>
          <w:color w:val="000000" w:themeColor="text1"/>
          <w:szCs w:val="24"/>
          <w:shd w:val="clear" w:color="auto" w:fill="FFFFFF"/>
        </w:rPr>
      </w:pPr>
      <w:r>
        <w:rPr>
          <w:rFonts w:cs="Times New Roman"/>
          <w:bCs/>
          <w:color w:val="000000" w:themeColor="text1"/>
          <w:szCs w:val="24"/>
        </w:rPr>
        <w:t xml:space="preserve">La trasformazione del ricordo puro in ricordo immagine, cioè il pervenire a coscienza di un contenuto inconscio, può avvenire per due motivi: 1) una percezione, ossia una sensazione presente (per es. un colore, un suono, un odore), che richiama un’analoga sensazione passata; 2) la vita pratica presenta un’esigenza per soddisfare la quale è necessario ricordare qualcosa, che passa quindi dallo stadio di ricordo puro a quello di ricordo immagine. Il legame tra 1) e 2) risulta dal fato che </w:t>
      </w:r>
      <w:r>
        <w:rPr>
          <w:rFonts w:cs="Times New Roman"/>
          <w:color w:val="000000" w:themeColor="text1"/>
          <w:szCs w:val="24"/>
          <w:shd w:val="clear" w:color="auto" w:fill="FFFFFF"/>
        </w:rPr>
        <w:t>l</w:t>
      </w:r>
      <w:r w:rsidRPr="00E96518">
        <w:rPr>
          <w:rFonts w:cs="Times New Roman"/>
          <w:color w:val="000000" w:themeColor="text1"/>
          <w:szCs w:val="24"/>
          <w:shd w:val="clear" w:color="auto" w:fill="FFFFFF"/>
        </w:rPr>
        <w:t xml:space="preserve">a percezione </w:t>
      </w:r>
      <w:r>
        <w:rPr>
          <w:rFonts w:cs="Times New Roman"/>
          <w:color w:val="000000" w:themeColor="text1"/>
          <w:szCs w:val="24"/>
          <w:shd w:val="clear" w:color="auto" w:fill="FFFFFF"/>
        </w:rPr>
        <w:t>è</w:t>
      </w:r>
      <w:r w:rsidRPr="00E96518">
        <w:rPr>
          <w:rFonts w:cs="Times New Roman"/>
          <w:color w:val="000000" w:themeColor="text1"/>
          <w:szCs w:val="24"/>
          <w:shd w:val="clear" w:color="auto" w:fill="FFFFFF"/>
        </w:rPr>
        <w:t xml:space="preserve"> la facoltà che ci lega al mondo esterno, e ha la funzione di selezionare i dati che ci sono più utili per le nostre attività </w:t>
      </w:r>
      <w:r>
        <w:rPr>
          <w:rFonts w:cs="Times New Roman"/>
          <w:color w:val="000000" w:themeColor="text1"/>
          <w:szCs w:val="24"/>
          <w:shd w:val="clear" w:color="auto" w:fill="FFFFFF"/>
        </w:rPr>
        <w:t>quotidiane, per la vita pratica</w:t>
      </w:r>
      <w:r w:rsidRPr="00E96518">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p>
    <w:p w:rsidR="00D900EC" w:rsidRDefault="00D900EC" w:rsidP="00D900EC">
      <w:pPr>
        <w:spacing w:after="0" w:line="240" w:lineRule="auto"/>
        <w:jc w:val="both"/>
        <w:rPr>
          <w:rFonts w:cs="Times New Roman"/>
          <w:bCs/>
          <w:color w:val="000000" w:themeColor="text1"/>
          <w:szCs w:val="24"/>
        </w:rPr>
      </w:pPr>
      <w:r>
        <w:rPr>
          <w:rFonts w:cs="Times New Roman"/>
          <w:color w:val="000000" w:themeColor="text1"/>
          <w:szCs w:val="24"/>
          <w:shd w:val="clear" w:color="auto" w:fill="FFFFFF"/>
        </w:rPr>
        <w:t>Il ricordo puro, divenendo ricordo immagine, non è un contenuto riportato a coscienza esattamente come è stato vissuto prima di trasformarsi in ricordo, perché vi è sempre una rielaborazione: quelli che noi chiamiamo “ricordi” non sono mai riproduzioni fedeli delle esperienze originarie (questo si lega al concetto di “durata” o tempo della vita, che cresce su di sé come un gomitolo nel senso che è una continua rielaborazione del passato).</w:t>
      </w:r>
    </w:p>
    <w:p w:rsidR="00D900EC" w:rsidRDefault="00D900EC" w:rsidP="00D900EC">
      <w:pPr>
        <w:spacing w:after="0" w:line="240" w:lineRule="auto"/>
        <w:jc w:val="both"/>
        <w:rPr>
          <w:rFonts w:cs="Times New Roman"/>
          <w:bCs/>
          <w:color w:val="000000" w:themeColor="text1"/>
          <w:szCs w:val="24"/>
        </w:rPr>
      </w:pPr>
      <w:r>
        <w:rPr>
          <w:rFonts w:cs="Times New Roman"/>
          <w:bCs/>
          <w:color w:val="000000" w:themeColor="text1"/>
          <w:szCs w:val="24"/>
        </w:rPr>
        <w:t>Le differenze principali tra la concezione di Bergson e quella di Freud sono: per Bergson 1) l’inconscio non è la sfera dei contenuti censurati perché traumatici o scandalosi, ma è l’ambito del ricordo puro, in cui ogni evento presente rientra, quando diventa passato; 2) per portare a coscienza i contenuti inconsci non serve la psicoterapia, perché essi sono richiamati dalla percezione e dalle esigenze della vita pratica.</w:t>
      </w:r>
    </w:p>
    <w:p w:rsidR="00D900EC" w:rsidRDefault="00D900EC" w:rsidP="00D900EC">
      <w:pPr>
        <w:spacing w:after="0" w:line="240" w:lineRule="auto"/>
        <w:jc w:val="both"/>
        <w:rPr>
          <w:rFonts w:cs="Times New Roman"/>
          <w:bCs/>
          <w:color w:val="000000" w:themeColor="text1"/>
          <w:szCs w:val="24"/>
        </w:rPr>
      </w:pPr>
    </w:p>
    <w:p w:rsidR="006D4F95" w:rsidRDefault="002A1CE9" w:rsidP="002A1CE9">
      <w:pPr>
        <w:autoSpaceDE w:val="0"/>
        <w:autoSpaceDN w:val="0"/>
        <w:adjustRightInd w:val="0"/>
        <w:spacing w:after="0" w:line="240" w:lineRule="auto"/>
        <w:jc w:val="both"/>
        <w:rPr>
          <w:rFonts w:cs="Times New Roman"/>
          <w:bCs/>
          <w:szCs w:val="24"/>
        </w:rPr>
      </w:pPr>
      <w:r>
        <w:rPr>
          <w:rFonts w:cs="Times New Roman"/>
          <w:bCs/>
          <w:szCs w:val="24"/>
        </w:rPr>
        <w:t xml:space="preserve">In </w:t>
      </w:r>
      <w:r w:rsidRPr="002A1CE9">
        <w:rPr>
          <w:rFonts w:cs="Times New Roman"/>
          <w:bCs/>
          <w:i/>
          <w:szCs w:val="24"/>
        </w:rPr>
        <w:t>Le due fonti della morale e della religione</w:t>
      </w:r>
      <w:r w:rsidRPr="002A1CE9">
        <w:rPr>
          <w:rFonts w:cs="Times New Roman"/>
          <w:bCs/>
          <w:szCs w:val="24"/>
        </w:rPr>
        <w:t xml:space="preserve"> (1932) Bergson espone i due concetti, poi ripresi da Karl Popper, di “società chiusa” </w:t>
      </w:r>
      <w:proofErr w:type="gramStart"/>
      <w:r w:rsidRPr="002A1CE9">
        <w:rPr>
          <w:rFonts w:cs="Times New Roman"/>
          <w:bCs/>
          <w:szCs w:val="24"/>
        </w:rPr>
        <w:t>e “</w:t>
      </w:r>
      <w:proofErr w:type="gramEnd"/>
      <w:r w:rsidRPr="002A1CE9">
        <w:rPr>
          <w:rFonts w:cs="Times New Roman"/>
          <w:bCs/>
          <w:szCs w:val="24"/>
        </w:rPr>
        <w:t>società aperta”.</w:t>
      </w:r>
      <w:r>
        <w:rPr>
          <w:rFonts w:cs="Times New Roman"/>
          <w:bCs/>
          <w:szCs w:val="24"/>
        </w:rPr>
        <w:t xml:space="preserve"> </w:t>
      </w:r>
      <w:r w:rsidR="00D3262D" w:rsidRPr="002A1CE9">
        <w:rPr>
          <w:rFonts w:cs="Times New Roman"/>
          <w:bCs/>
          <w:szCs w:val="24"/>
        </w:rPr>
        <w:t xml:space="preserve">Società chiusa è quella in cui prevalgono le forze di conservazione, in cui l'individuo è subordinato all'insieme, in cui i membri sono collegati solo in </w:t>
      </w:r>
      <w:r w:rsidR="00D3262D" w:rsidRPr="002A1CE9">
        <w:rPr>
          <w:rFonts w:cs="Times New Roman"/>
          <w:bCs/>
          <w:szCs w:val="24"/>
        </w:rPr>
        <w:lastRenderedPageBreak/>
        <w:t>virtù di forze naturali</w:t>
      </w:r>
      <w:r w:rsidRPr="002A1CE9">
        <w:rPr>
          <w:rFonts w:cs="Times New Roman"/>
          <w:bCs/>
          <w:szCs w:val="24"/>
        </w:rPr>
        <w:t>, in cui vigono leggi restrittive che reprimono la libera iniziativa</w:t>
      </w:r>
      <w:r w:rsidR="00D3262D" w:rsidRPr="002A1CE9">
        <w:rPr>
          <w:rFonts w:cs="Times New Roman"/>
          <w:bCs/>
          <w:szCs w:val="24"/>
        </w:rPr>
        <w:t>. Società aperta è quella in cui prevalgono le forze di crescita, in cui l'individuo è libero nella sua capacità inventiva, in cui i membri sono collegati da una forza spirituale</w:t>
      </w:r>
      <w:r w:rsidRPr="002A1CE9">
        <w:rPr>
          <w:rFonts w:cs="Times New Roman"/>
          <w:bCs/>
          <w:szCs w:val="24"/>
        </w:rPr>
        <w:t>, in cui si incoraggia la discussione e l’innovazione, in cui vi è una gestione democratica del potere</w:t>
      </w:r>
      <w:r w:rsidR="00D3262D" w:rsidRPr="002A1CE9">
        <w:rPr>
          <w:rFonts w:cs="Times New Roman"/>
          <w:bCs/>
          <w:szCs w:val="24"/>
        </w:rPr>
        <w:t>. Conservazione e progresso sono i termini che caratterizzano questi due tipi del vivere sociale. A essi corrispondono due tipi di morale e di </w:t>
      </w:r>
      <w:hyperlink r:id="rId7" w:history="1">
        <w:r w:rsidR="00D3262D" w:rsidRPr="002A1CE9">
          <w:rPr>
            <w:rFonts w:cs="Times New Roman"/>
            <w:szCs w:val="24"/>
          </w:rPr>
          <w:t>religione</w:t>
        </w:r>
      </w:hyperlink>
      <w:r w:rsidR="00A6240C">
        <w:rPr>
          <w:rFonts w:cs="Times New Roman"/>
          <w:bCs/>
          <w:szCs w:val="24"/>
        </w:rPr>
        <w:t>: d</w:t>
      </w:r>
      <w:r w:rsidR="00D3262D" w:rsidRPr="002A1CE9">
        <w:rPr>
          <w:rFonts w:cs="Times New Roman"/>
          <w:bCs/>
          <w:szCs w:val="24"/>
        </w:rPr>
        <w:t>a un lato morale chiusa e religione statica</w:t>
      </w:r>
      <w:r w:rsidRPr="002A1CE9">
        <w:rPr>
          <w:rFonts w:cs="Times New Roman"/>
          <w:bCs/>
          <w:szCs w:val="24"/>
        </w:rPr>
        <w:t xml:space="preserve"> (= dogmatica)</w:t>
      </w:r>
      <w:r w:rsidR="00D3262D" w:rsidRPr="002A1CE9">
        <w:rPr>
          <w:rFonts w:cs="Times New Roman"/>
          <w:bCs/>
          <w:szCs w:val="24"/>
        </w:rPr>
        <w:t>, dall'altro morale aperta e religione dinamica</w:t>
      </w:r>
      <w:r w:rsidRPr="002A1CE9">
        <w:rPr>
          <w:rFonts w:cs="Times New Roman"/>
          <w:bCs/>
          <w:szCs w:val="24"/>
        </w:rPr>
        <w:t xml:space="preserve"> (= mistica)</w:t>
      </w:r>
      <w:r w:rsidR="00D3262D" w:rsidRPr="002A1CE9">
        <w:rPr>
          <w:rFonts w:cs="Times New Roman"/>
          <w:bCs/>
          <w:szCs w:val="24"/>
        </w:rPr>
        <w:t>. L'una mantiene l'uomo schiavo dei miti e della paura; l'altra ne libera invece lo slancio verso Dio</w:t>
      </w:r>
      <w:r w:rsidR="006D4F95">
        <w:rPr>
          <w:rFonts w:cs="Times New Roman"/>
          <w:bCs/>
          <w:szCs w:val="24"/>
        </w:rPr>
        <w:t>.</w:t>
      </w:r>
    </w:p>
    <w:p w:rsidR="00E22FF0" w:rsidRPr="00C80067" w:rsidRDefault="006D4F95" w:rsidP="00A6240C">
      <w:pPr>
        <w:shd w:val="clear" w:color="auto" w:fill="FFFFFF"/>
        <w:spacing w:before="120" w:after="120" w:line="240" w:lineRule="auto"/>
        <w:jc w:val="both"/>
        <w:rPr>
          <w:rFonts w:cs="Times New Roman"/>
          <w:bCs/>
          <w:szCs w:val="24"/>
        </w:rPr>
      </w:pPr>
      <w:bookmarkStart w:id="0" w:name="_GoBack"/>
      <w:bookmarkEnd w:id="0"/>
      <w:r w:rsidRPr="00C80067">
        <w:rPr>
          <w:rFonts w:cs="Times New Roman"/>
          <w:bCs/>
          <w:szCs w:val="24"/>
        </w:rPr>
        <w:t xml:space="preserve"> </w:t>
      </w:r>
    </w:p>
    <w:sectPr w:rsidR="00E22FF0" w:rsidRPr="00C8006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1B" w:rsidRDefault="00731A1B" w:rsidP="00747D5C">
      <w:pPr>
        <w:spacing w:after="0" w:line="240" w:lineRule="auto"/>
      </w:pPr>
      <w:r>
        <w:separator/>
      </w:r>
    </w:p>
  </w:endnote>
  <w:endnote w:type="continuationSeparator" w:id="0">
    <w:p w:rsidR="00731A1B" w:rsidRDefault="00731A1B" w:rsidP="0074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112041"/>
      <w:docPartObj>
        <w:docPartGallery w:val="Page Numbers (Bottom of Page)"/>
        <w:docPartUnique/>
      </w:docPartObj>
    </w:sdtPr>
    <w:sdtEndPr/>
    <w:sdtContent>
      <w:p w:rsidR="00747D5C" w:rsidRDefault="00747D5C">
        <w:pPr>
          <w:pStyle w:val="Pidipagina"/>
          <w:jc w:val="right"/>
        </w:pPr>
        <w:r>
          <w:fldChar w:fldCharType="begin"/>
        </w:r>
        <w:r>
          <w:instrText>PAGE   \* MERGEFORMAT</w:instrText>
        </w:r>
        <w:r>
          <w:fldChar w:fldCharType="separate"/>
        </w:r>
        <w:r w:rsidR="00024276">
          <w:rPr>
            <w:noProof/>
          </w:rPr>
          <w:t>2</w:t>
        </w:r>
        <w:r>
          <w:fldChar w:fldCharType="end"/>
        </w:r>
      </w:p>
    </w:sdtContent>
  </w:sdt>
  <w:p w:rsidR="00747D5C" w:rsidRDefault="00747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1B" w:rsidRDefault="00731A1B" w:rsidP="00747D5C">
      <w:pPr>
        <w:spacing w:after="0" w:line="240" w:lineRule="auto"/>
      </w:pPr>
      <w:r>
        <w:separator/>
      </w:r>
    </w:p>
  </w:footnote>
  <w:footnote w:type="continuationSeparator" w:id="0">
    <w:p w:rsidR="00731A1B" w:rsidRDefault="00731A1B" w:rsidP="0074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B86"/>
    <w:multiLevelType w:val="multilevel"/>
    <w:tmpl w:val="28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514D9"/>
    <w:multiLevelType w:val="multilevel"/>
    <w:tmpl w:val="1B46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A"/>
    <w:rsid w:val="00024276"/>
    <w:rsid w:val="002A1CE9"/>
    <w:rsid w:val="003865EA"/>
    <w:rsid w:val="006D4F95"/>
    <w:rsid w:val="00731A1B"/>
    <w:rsid w:val="00747D5C"/>
    <w:rsid w:val="008702A7"/>
    <w:rsid w:val="00A6240C"/>
    <w:rsid w:val="00C80067"/>
    <w:rsid w:val="00CC6A4E"/>
    <w:rsid w:val="00D3262D"/>
    <w:rsid w:val="00D900EC"/>
    <w:rsid w:val="00E22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1E9B"/>
  <w15:chartTrackingRefBased/>
  <w15:docId w15:val="{6205AB33-F9EE-4416-AE77-5C928102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3262D"/>
    <w:rPr>
      <w:b/>
      <w:bCs/>
    </w:rPr>
  </w:style>
  <w:style w:type="paragraph" w:styleId="NormaleWeb">
    <w:name w:val="Normal (Web)"/>
    <w:basedOn w:val="Normale"/>
    <w:uiPriority w:val="99"/>
    <w:semiHidden/>
    <w:unhideWhenUsed/>
    <w:rsid w:val="006D4F95"/>
    <w:rPr>
      <w:rFonts w:cs="Times New Roman"/>
      <w:szCs w:val="24"/>
    </w:rPr>
  </w:style>
  <w:style w:type="paragraph" w:styleId="Intestazione">
    <w:name w:val="header"/>
    <w:basedOn w:val="Normale"/>
    <w:link w:val="IntestazioneCarattere"/>
    <w:uiPriority w:val="99"/>
    <w:unhideWhenUsed/>
    <w:rsid w:val="00747D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7D5C"/>
  </w:style>
  <w:style w:type="paragraph" w:styleId="Pidipagina">
    <w:name w:val="footer"/>
    <w:basedOn w:val="Normale"/>
    <w:link w:val="PidipaginaCarattere"/>
    <w:uiPriority w:val="99"/>
    <w:unhideWhenUsed/>
    <w:rsid w:val="00747D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38059">
      <w:bodyDiv w:val="1"/>
      <w:marLeft w:val="0"/>
      <w:marRight w:val="0"/>
      <w:marTop w:val="0"/>
      <w:marBottom w:val="0"/>
      <w:divBdr>
        <w:top w:val="none" w:sz="0" w:space="0" w:color="auto"/>
        <w:left w:val="none" w:sz="0" w:space="0" w:color="auto"/>
        <w:bottom w:val="none" w:sz="0" w:space="0" w:color="auto"/>
        <w:right w:val="none" w:sz="0" w:space="0" w:color="auto"/>
      </w:divBdr>
      <w:divsChild>
        <w:div w:id="114828493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flessioni.it/enciclopedia/religion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9</cp:revision>
  <dcterms:created xsi:type="dcterms:W3CDTF">2020-04-18T14:00:00Z</dcterms:created>
  <dcterms:modified xsi:type="dcterms:W3CDTF">2021-09-11T14:44:00Z</dcterms:modified>
</cp:coreProperties>
</file>