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8E51" w14:textId="77777777" w:rsidR="00183753" w:rsidRPr="00B82F36" w:rsidRDefault="00183753" w:rsidP="00183753">
      <w:pPr>
        <w:snapToGrid w:val="0"/>
        <w:spacing w:after="0" w:line="240" w:lineRule="auto"/>
        <w:jc w:val="both"/>
        <w:outlineLvl w:val="0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82F36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>FDI Strategies – Foreign Market Exit</w:t>
      </w:r>
    </w:p>
    <w:p w14:paraId="6D9367CE" w14:textId="77777777" w:rsidR="00183753" w:rsidRDefault="00183753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183753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Buckley, P. J., Horn, S. A., Cross, A. R., &amp; Stillwell, J. 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(2013). “The Spatial Redistribution of Japanese Direct Investment in the UK between 1991 &amp; 2010”, </w:t>
      </w:r>
      <w:r w:rsidRPr="00183753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  <w:lang w:val="en-US"/>
        </w:rPr>
        <w:t>Business History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, 55(3), 405-430. </w:t>
      </w:r>
    </w:p>
    <w:p w14:paraId="520F4FA6" w14:textId="3B5CE0D0" w:rsidR="00320F7C" w:rsidRPr="00320F7C" w:rsidRDefault="00320F7C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/>
        </w:rPr>
        <w:t>Questions</w:t>
      </w:r>
    </w:p>
    <w:p w14:paraId="5DA404D9" w14:textId="77777777" w:rsidR="00320F7C" w:rsidRPr="00320F7C" w:rsidRDefault="00320F7C" w:rsidP="00320F7C">
      <w:pPr>
        <w:pStyle w:val="a9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Discuss the major characteristics of Japanese FDI in the UK.</w:t>
      </w:r>
    </w:p>
    <w:p w14:paraId="785ADE5B" w14:textId="2C1963EB" w:rsidR="00320F7C" w:rsidRPr="00320F7C" w:rsidRDefault="00320F7C" w:rsidP="00320F7C">
      <w:pPr>
        <w:pStyle w:val="a9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Elaborate on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how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industrial support policy influences the investment pattern of Japanese multinational corporations.</w:t>
      </w:r>
    </w:p>
    <w:p w14:paraId="51114DFB" w14:textId="0591CAD5" w:rsidR="00320F7C" w:rsidRPr="00320F7C" w:rsidRDefault="00320F7C" w:rsidP="00320F7C">
      <w:pPr>
        <w:pStyle w:val="a9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W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hat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does it mean by “agglomeration”? What about its positive &amp; negative effects in general? How does it determine Japanese MNCs’ location strategies?</w:t>
      </w:r>
    </w:p>
    <w:p w14:paraId="1FE97904" w14:textId="77777777" w:rsidR="00320F7C" w:rsidRPr="00320F7C" w:rsidRDefault="00320F7C" w:rsidP="00320F7C">
      <w:pPr>
        <w:pStyle w:val="a9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Describe the patterns of Japanese firms’ location at the subnational level from 1991 to 2010 as presented in Figure 1 (page 418).</w:t>
      </w:r>
    </w:p>
    <w:p w14:paraId="22AD5CF2" w14:textId="5AD45855" w:rsidR="00183753" w:rsidRPr="00320F7C" w:rsidRDefault="00320F7C" w:rsidP="00320F7C">
      <w:pPr>
        <w:pStyle w:val="a9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What are the crucial remarks of this piece of work?</w:t>
      </w:r>
    </w:p>
    <w:p w14:paraId="0A2F6582" w14:textId="77777777" w:rsidR="00320F7C" w:rsidRDefault="00320F7C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6C34358" w14:textId="203D3C65" w:rsidR="00476F9F" w:rsidRPr="00476F9F" w:rsidRDefault="00183753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strike/>
          <w:color w:val="FF0000"/>
          <w:sz w:val="24"/>
          <w:szCs w:val="24"/>
          <w:lang w:val="en-US"/>
        </w:rPr>
      </w:pPr>
      <w:r w:rsidRPr="00476F9F">
        <w:rPr>
          <w:rFonts w:ascii="Times New Roman" w:eastAsia="ＭＳ 明朝" w:hAnsi="Times New Roman" w:cs="Times New Roman"/>
          <w:b/>
          <w:bCs/>
          <w:strike/>
          <w:color w:val="FF0000"/>
          <w:sz w:val="24"/>
          <w:szCs w:val="24"/>
          <w:lang w:val="en-US"/>
        </w:rPr>
        <w:t>Makino, S., Chan, C. M., Isobe, T., &amp; Beamish, P. W.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 xml:space="preserve"> (2007). “Intended and </w:t>
      </w:r>
      <w:r w:rsidRPr="00476F9F">
        <w:rPr>
          <w:rFonts w:ascii="Times New Roman" w:eastAsia="ＭＳ 明朝" w:hAnsi="Times New Roman" w:cs="Times New Roman" w:hint="eastAsia"/>
          <w:strike/>
          <w:color w:val="FF0000"/>
          <w:sz w:val="24"/>
          <w:szCs w:val="24"/>
          <w:lang w:val="en-US"/>
        </w:rPr>
        <w:t>U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 xml:space="preserve">nintended </w:t>
      </w:r>
      <w:r w:rsidRPr="00476F9F">
        <w:rPr>
          <w:rFonts w:ascii="Times New Roman" w:eastAsia="ＭＳ 明朝" w:hAnsi="Times New Roman" w:cs="Times New Roman" w:hint="eastAsia"/>
          <w:strike/>
          <w:color w:val="FF0000"/>
          <w:sz w:val="24"/>
          <w:szCs w:val="24"/>
          <w:lang w:val="en-US"/>
        </w:rPr>
        <w:t>T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 xml:space="preserve">ermination of </w:t>
      </w:r>
      <w:r w:rsidRPr="00476F9F">
        <w:rPr>
          <w:rFonts w:ascii="Times New Roman" w:eastAsia="ＭＳ 明朝" w:hAnsi="Times New Roman" w:cs="Times New Roman" w:hint="eastAsia"/>
          <w:strike/>
          <w:color w:val="FF0000"/>
          <w:sz w:val="24"/>
          <w:szCs w:val="24"/>
          <w:lang w:val="en-US"/>
        </w:rPr>
        <w:t>I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 xml:space="preserve">nternational </w:t>
      </w:r>
      <w:r w:rsidRPr="00476F9F">
        <w:rPr>
          <w:rFonts w:ascii="Times New Roman" w:eastAsia="ＭＳ 明朝" w:hAnsi="Times New Roman" w:cs="Times New Roman" w:hint="eastAsia"/>
          <w:strike/>
          <w:color w:val="FF0000"/>
          <w:sz w:val="24"/>
          <w:szCs w:val="24"/>
          <w:lang w:val="en-US"/>
        </w:rPr>
        <w:t>J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 xml:space="preserve">oint </w:t>
      </w:r>
      <w:r w:rsidRPr="00476F9F">
        <w:rPr>
          <w:rFonts w:ascii="Times New Roman" w:eastAsia="ＭＳ 明朝" w:hAnsi="Times New Roman" w:cs="Times New Roman" w:hint="eastAsia"/>
          <w:strike/>
          <w:color w:val="FF0000"/>
          <w:sz w:val="24"/>
          <w:szCs w:val="24"/>
          <w:lang w:val="en-US"/>
        </w:rPr>
        <w:t>V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>entures”</w:t>
      </w:r>
      <w:r w:rsidRPr="00476F9F">
        <w:rPr>
          <w:rFonts w:ascii="Times New Roman" w:eastAsia="ＭＳ 明朝" w:hAnsi="Times New Roman" w:cs="Times New Roman" w:hint="eastAsia"/>
          <w:strike/>
          <w:color w:val="FF0000"/>
          <w:sz w:val="24"/>
          <w:szCs w:val="24"/>
          <w:lang w:val="en-US"/>
        </w:rPr>
        <w:t>,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 xml:space="preserve"> </w:t>
      </w:r>
      <w:r w:rsidRPr="00476F9F">
        <w:rPr>
          <w:rFonts w:ascii="Times New Roman" w:eastAsia="ＭＳ 明朝" w:hAnsi="Times New Roman" w:cs="Times New Roman"/>
          <w:i/>
          <w:iCs/>
          <w:strike/>
          <w:color w:val="FF0000"/>
          <w:sz w:val="24"/>
          <w:szCs w:val="24"/>
          <w:lang w:val="en-US"/>
        </w:rPr>
        <w:t xml:space="preserve">Strategic </w:t>
      </w:r>
      <w:r w:rsidRPr="00476F9F">
        <w:rPr>
          <w:rFonts w:ascii="Times New Roman" w:eastAsia="ＭＳ 明朝" w:hAnsi="Times New Roman" w:cs="Times New Roman" w:hint="eastAsia"/>
          <w:i/>
          <w:iCs/>
          <w:strike/>
          <w:color w:val="FF0000"/>
          <w:sz w:val="24"/>
          <w:szCs w:val="24"/>
          <w:lang w:val="en-US"/>
        </w:rPr>
        <w:t>M</w:t>
      </w:r>
      <w:r w:rsidRPr="00476F9F">
        <w:rPr>
          <w:rFonts w:ascii="Times New Roman" w:eastAsia="ＭＳ 明朝" w:hAnsi="Times New Roman" w:cs="Times New Roman"/>
          <w:i/>
          <w:iCs/>
          <w:strike/>
          <w:color w:val="FF0000"/>
          <w:sz w:val="24"/>
          <w:szCs w:val="24"/>
          <w:lang w:val="en-US"/>
        </w:rPr>
        <w:t>anagement</w:t>
      </w:r>
      <w:r w:rsidRPr="00476F9F">
        <w:rPr>
          <w:rFonts w:ascii="Times New Roman" w:eastAsia="ＭＳ 明朝" w:hAnsi="Times New Roman" w:cs="Times New Roman" w:hint="eastAsia"/>
          <w:i/>
          <w:iCs/>
          <w:strike/>
          <w:color w:val="FF0000"/>
          <w:sz w:val="24"/>
          <w:szCs w:val="24"/>
          <w:lang w:val="en-US"/>
        </w:rPr>
        <w:t xml:space="preserve"> J</w:t>
      </w:r>
      <w:r w:rsidRPr="00476F9F">
        <w:rPr>
          <w:rFonts w:ascii="Times New Roman" w:eastAsia="ＭＳ 明朝" w:hAnsi="Times New Roman" w:cs="Times New Roman"/>
          <w:i/>
          <w:iCs/>
          <w:strike/>
          <w:color w:val="FF0000"/>
          <w:sz w:val="24"/>
          <w:szCs w:val="24"/>
          <w:lang w:val="en-US"/>
        </w:rPr>
        <w:t>ournal</w:t>
      </w:r>
      <w:r w:rsidRPr="00476F9F">
        <w:rPr>
          <w:rFonts w:ascii="Times New Roman" w:eastAsia="ＭＳ 明朝" w:hAnsi="Times New Roman" w:cs="Times New Roman"/>
          <w:strike/>
          <w:color w:val="FF0000"/>
          <w:sz w:val="24"/>
          <w:szCs w:val="24"/>
          <w:lang w:val="en-US"/>
        </w:rPr>
        <w:t>, 28(11), 1113-1132.</w:t>
      </w:r>
    </w:p>
    <w:p w14:paraId="60CFCFA5" w14:textId="77777777" w:rsidR="00476F9F" w:rsidRDefault="00476F9F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EA078D5" w14:textId="5CEE96C5" w:rsidR="00183753" w:rsidRPr="00183753" w:rsidRDefault="00183753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183753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Thams, Y., &amp; Dau, L. A. 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(2023). “Do Liberal &amp; Conservative-Leaning CEOs Approach De-Internationalization Differently? Zooming in on the Onset of the 2022 Russia/Ukraine Crisis”, </w:t>
      </w:r>
      <w:r w:rsidRPr="00183753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World Business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, 58(5), 101475.</w:t>
      </w:r>
    </w:p>
    <w:p w14:paraId="539433A5" w14:textId="77777777" w:rsidR="00320F7C" w:rsidRPr="00320F7C" w:rsidRDefault="00320F7C" w:rsidP="00320F7C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>Questions</w:t>
      </w:r>
    </w:p>
    <w:p w14:paraId="778E1D40" w14:textId="6056B887" w:rsidR="00320F7C" w:rsidRPr="00320F7C" w:rsidRDefault="00320F7C" w:rsidP="00320F7C">
      <w:pPr>
        <w:pStyle w:val="a9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What is the main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content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of this article? What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contributions d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oes this piece of work make to the existing literature on de-internationalization?</w:t>
      </w:r>
    </w:p>
    <w:p w14:paraId="22051810" w14:textId="211214D0" w:rsidR="00320F7C" w:rsidRPr="00320F7C" w:rsidRDefault="00320F7C" w:rsidP="00320F7C">
      <w:pPr>
        <w:pStyle w:val="a9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Investigate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how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the Russia-Ukraine War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impacted 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MNCs (Italian &amp; other European MNCs) operating in Russia &amp; neighboring countries &amp; discuss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how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they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responded/have been responding 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to this crisis from a strategic point of view in detail.</w:t>
      </w:r>
    </w:p>
    <w:p w14:paraId="3878E25F" w14:textId="2BA27599" w:rsidR="00320F7C" w:rsidRPr="00320F7C" w:rsidRDefault="00320F7C" w:rsidP="00320F7C">
      <w:pPr>
        <w:pStyle w:val="a9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Summarize the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logic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of Figure 1 with your own words.</w:t>
      </w:r>
    </w:p>
    <w:p w14:paraId="10913812" w14:textId="2C0171B0" w:rsidR="00320F7C" w:rsidRPr="00320F7C" w:rsidRDefault="00320F7C" w:rsidP="00320F7C">
      <w:pPr>
        <w:pStyle w:val="a9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What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managerial implications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can be drawn from the empirical findings of this article?</w:t>
      </w:r>
    </w:p>
    <w:p w14:paraId="6D7246CE" w14:textId="2031A451" w:rsidR="00183753" w:rsidRPr="00320F7C" w:rsidRDefault="00320F7C" w:rsidP="00320F7C">
      <w:pPr>
        <w:pStyle w:val="a9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What is the </w:t>
      </w:r>
      <w:r w:rsidRPr="00320F7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take-home message</w:t>
      </w:r>
      <w:r w:rsidRPr="00320F7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of this article?</w:t>
      </w:r>
    </w:p>
    <w:p w14:paraId="5A413E6E" w14:textId="77777777" w:rsidR="00320F7C" w:rsidRDefault="00320F7C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D484610" w14:textId="6DFBBC43" w:rsidR="00183753" w:rsidRDefault="00183753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183753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Schmid, D., &amp; </w:t>
      </w:r>
      <w:proofErr w:type="spellStart"/>
      <w:r w:rsidRPr="00183753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>Morschett</w:t>
      </w:r>
      <w:proofErr w:type="spellEnd"/>
      <w:r w:rsidRPr="00183753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D. 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(2023). “Retailers’ 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F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oreign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 M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arket 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E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xits over 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T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ime: A 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S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trategic 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M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anagement 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P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erspective”</w:t>
      </w:r>
      <w:r w:rsidRPr="00183753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,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83753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  <w:lang w:val="en-US"/>
        </w:rPr>
        <w:t>International Business Review</w:t>
      </w:r>
      <w:r w:rsidRPr="00183753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, 32(5), 102164.</w:t>
      </w:r>
    </w:p>
    <w:p w14:paraId="4A772235" w14:textId="66C1DD19" w:rsidR="00D86672" w:rsidRPr="00D86672" w:rsidRDefault="00D86672" w:rsidP="00183753">
      <w:p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86672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/>
        </w:rPr>
        <w:t>Questions</w:t>
      </w:r>
    </w:p>
    <w:p w14:paraId="62E6342A" w14:textId="6DAE7F78" w:rsidR="00476F9F" w:rsidRDefault="00476F9F" w:rsidP="00476F9F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What is the core argument of this piece of work?</w:t>
      </w:r>
    </w:p>
    <w:p w14:paraId="3F4B62B0" w14:textId="715B20F0" w:rsidR="00476F9F" w:rsidRDefault="00476F9F" w:rsidP="00476F9F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476F9F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Explain the pattern of direct investment behavior of retail companies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 from a theoretical point of view.</w:t>
      </w:r>
    </w:p>
    <w:p w14:paraId="1A17D1B2" w14:textId="18B1A3FB" w:rsidR="00422C76" w:rsidRDefault="00476F9F" w:rsidP="00CB602A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Articulate </w:t>
      </w:r>
      <w:r w:rsidRPr="00476F9F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the long-term 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divestment</w:t>
      </w:r>
      <w:r w:rsidRPr="00476F9F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 behavior of retailers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 &amp; analyze potential factors responsible for retailers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’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 market exists.</w:t>
      </w:r>
      <w:r w:rsidR="00083C64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 xml:space="preserve"> Is the nature of their exit patterns heterogeneous or homogeneous?</w:t>
      </w:r>
    </w:p>
    <w:p w14:paraId="34840651" w14:textId="19E84075" w:rsidR="00CB602A" w:rsidRDefault="00CB602A" w:rsidP="00CB602A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What are the strengths &amp; weaknesses of this article?</w:t>
      </w:r>
    </w:p>
    <w:p w14:paraId="053BA7CD" w14:textId="5A7BB594" w:rsidR="00CB602A" w:rsidRPr="00CB602A" w:rsidRDefault="00083C64" w:rsidP="00CB602A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Find an interesting foreign firm</w:t>
      </w: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’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/>
        </w:rPr>
        <w:t>s exit case from other industries &amp; investigate its divestment motives.</w:t>
      </w:r>
    </w:p>
    <w:sectPr w:rsidR="00CB602A" w:rsidRPr="00CB6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473B" w14:textId="77777777" w:rsidR="008D42B3" w:rsidRDefault="008D42B3" w:rsidP="00320F7C">
      <w:pPr>
        <w:spacing w:after="0" w:line="240" w:lineRule="auto"/>
      </w:pPr>
      <w:r>
        <w:separator/>
      </w:r>
    </w:p>
  </w:endnote>
  <w:endnote w:type="continuationSeparator" w:id="0">
    <w:p w14:paraId="5FF8159D" w14:textId="77777777" w:rsidR="008D42B3" w:rsidRDefault="008D42B3" w:rsidP="0032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78DD" w14:textId="77777777" w:rsidR="008D42B3" w:rsidRDefault="008D42B3" w:rsidP="00320F7C">
      <w:pPr>
        <w:spacing w:after="0" w:line="240" w:lineRule="auto"/>
      </w:pPr>
      <w:r>
        <w:separator/>
      </w:r>
    </w:p>
  </w:footnote>
  <w:footnote w:type="continuationSeparator" w:id="0">
    <w:p w14:paraId="466757EB" w14:textId="77777777" w:rsidR="008D42B3" w:rsidRDefault="008D42B3" w:rsidP="0032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C26"/>
    <w:multiLevelType w:val="hybridMultilevel"/>
    <w:tmpl w:val="6108F6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5D2726"/>
    <w:multiLevelType w:val="hybridMultilevel"/>
    <w:tmpl w:val="3E5810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134B0F"/>
    <w:multiLevelType w:val="hybridMultilevel"/>
    <w:tmpl w:val="7326148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6E6AE3"/>
    <w:multiLevelType w:val="hybridMultilevel"/>
    <w:tmpl w:val="BA20DA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450758"/>
    <w:multiLevelType w:val="hybridMultilevel"/>
    <w:tmpl w:val="EA5EC2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A493F28"/>
    <w:multiLevelType w:val="hybridMultilevel"/>
    <w:tmpl w:val="3F60D5C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934E22"/>
    <w:multiLevelType w:val="hybridMultilevel"/>
    <w:tmpl w:val="6BEEF82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7" w15:restartNumberingAfterBreak="0">
    <w:nsid w:val="6FEA35C9"/>
    <w:multiLevelType w:val="hybridMultilevel"/>
    <w:tmpl w:val="41C469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9833525">
    <w:abstractNumId w:val="6"/>
  </w:num>
  <w:num w:numId="2" w16cid:durableId="445122726">
    <w:abstractNumId w:val="1"/>
  </w:num>
  <w:num w:numId="3" w16cid:durableId="613632702">
    <w:abstractNumId w:val="5"/>
  </w:num>
  <w:num w:numId="4" w16cid:durableId="565801884">
    <w:abstractNumId w:val="7"/>
  </w:num>
  <w:num w:numId="5" w16cid:durableId="1444691492">
    <w:abstractNumId w:val="2"/>
  </w:num>
  <w:num w:numId="6" w16cid:durableId="949239125">
    <w:abstractNumId w:val="3"/>
  </w:num>
  <w:num w:numId="7" w16cid:durableId="1005324963">
    <w:abstractNumId w:val="4"/>
  </w:num>
  <w:num w:numId="8" w16cid:durableId="63229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6"/>
    <w:rsid w:val="00083C64"/>
    <w:rsid w:val="00114C34"/>
    <w:rsid w:val="00183753"/>
    <w:rsid w:val="00320F7C"/>
    <w:rsid w:val="00422C76"/>
    <w:rsid w:val="00476F9F"/>
    <w:rsid w:val="007C0EF3"/>
    <w:rsid w:val="008D42B3"/>
    <w:rsid w:val="00A21277"/>
    <w:rsid w:val="00B509FE"/>
    <w:rsid w:val="00CB602A"/>
    <w:rsid w:val="00D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35FC1"/>
  <w15:chartTrackingRefBased/>
  <w15:docId w15:val="{A017BA62-DED7-456A-9028-4421A27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53"/>
    <w:pPr>
      <w:spacing w:after="200" w:line="276" w:lineRule="auto"/>
    </w:pPr>
    <w:rPr>
      <w:kern w:val="0"/>
      <w:szCs w:val="22"/>
      <w:lang w:val="de-D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2C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C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2C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2C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2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2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2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2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2C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2C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2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2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2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2C7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2C7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22C7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0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0F7C"/>
    <w:rPr>
      <w:kern w:val="0"/>
      <w:szCs w:val="22"/>
      <w:lang w:val="de-DE"/>
      <w14:ligatures w14:val="none"/>
    </w:rPr>
  </w:style>
  <w:style w:type="paragraph" w:styleId="ac">
    <w:name w:val="footer"/>
    <w:basedOn w:val="a"/>
    <w:link w:val="ad"/>
    <w:uiPriority w:val="99"/>
    <w:unhideWhenUsed/>
    <w:rsid w:val="00320F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0F7C"/>
    <w:rPr>
      <w:kern w:val="0"/>
      <w:szCs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7</cp:revision>
  <dcterms:created xsi:type="dcterms:W3CDTF">2025-03-05T18:38:00Z</dcterms:created>
  <dcterms:modified xsi:type="dcterms:W3CDTF">2025-03-05T19:09:00Z</dcterms:modified>
</cp:coreProperties>
</file>